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30" w:type="dxa"/>
        <w:tblCellMar>
          <w:top w:w="67" w:type="dxa"/>
          <w:left w:w="37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402E1" w14:paraId="6A5C95BB" w14:textId="77777777">
        <w:trPr>
          <w:trHeight w:val="748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57C9" w14:textId="77777777" w:rsidR="00B402E1" w:rsidRDefault="00F84C0C">
            <w:pPr>
              <w:spacing w:after="0" w:line="259" w:lineRule="auto"/>
              <w:ind w:left="0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  <w:r>
              <w:t xml:space="preserve"> </w:t>
            </w:r>
          </w:p>
        </w:tc>
      </w:tr>
      <w:tr w:rsidR="00B402E1" w14:paraId="3E47D41E" w14:textId="77777777">
        <w:trPr>
          <w:trHeight w:val="83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0D5B" w14:textId="77777777" w:rsidR="00B402E1" w:rsidRDefault="00F84C0C">
            <w:pPr>
              <w:spacing w:after="0" w:line="259" w:lineRule="auto"/>
              <w:ind w:left="0" w:firstLine="0"/>
            </w:pPr>
            <w:r>
              <w:t xml:space="preserve">SUBJECT:  Duty </w:t>
            </w:r>
            <w:proofErr w:type="gramStart"/>
            <w:r>
              <w:t>To</w:t>
            </w:r>
            <w:proofErr w:type="gramEnd"/>
            <w:r>
              <w:t xml:space="preserve"> Warn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67E1" w14:textId="77777777" w:rsidR="00B402E1" w:rsidRDefault="00F84C0C">
            <w:pPr>
              <w:spacing w:after="0" w:line="259" w:lineRule="auto"/>
              <w:ind w:left="0" w:firstLine="0"/>
            </w:pPr>
            <w:r>
              <w:t xml:space="preserve">Section:  8331A </w:t>
            </w:r>
          </w:p>
        </w:tc>
      </w:tr>
      <w:tr w:rsidR="00B402E1" w14:paraId="73EB9CFE" w14:textId="77777777">
        <w:trPr>
          <w:trHeight w:val="7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5146" w14:textId="77777777" w:rsidR="00B402E1" w:rsidRDefault="00F84C0C">
            <w:pPr>
              <w:spacing w:after="0" w:line="259" w:lineRule="auto"/>
              <w:ind w:left="0" w:firstLine="0"/>
            </w:pPr>
            <w:r>
              <w:t xml:space="preserve">Effective Date:  November 26, </w:t>
            </w:r>
            <w:proofErr w:type="gramStart"/>
            <w:r>
              <w:t>1996</w:t>
            </w:r>
            <w:proofErr w:type="gramEnd"/>
            <w:r>
              <w:t xml:space="preserve">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C41F" w14:textId="77777777" w:rsidR="00B402E1" w:rsidRDefault="00F84C0C">
            <w:pPr>
              <w:spacing w:after="0" w:line="259" w:lineRule="auto"/>
              <w:ind w:left="0" w:firstLine="0"/>
            </w:pPr>
            <w:r>
              <w:t xml:space="preserve">Revised Date:  September 21, </w:t>
            </w:r>
            <w:proofErr w:type="gramStart"/>
            <w:r>
              <w:t>202</w:t>
            </w:r>
            <w:r>
              <w:t>1</w:t>
            </w:r>
            <w:proofErr w:type="gramEnd"/>
            <w:r>
              <w:t xml:space="preserve"> </w:t>
            </w:r>
          </w:p>
        </w:tc>
      </w:tr>
    </w:tbl>
    <w:p w14:paraId="30F2C445" w14:textId="77777777" w:rsidR="00B402E1" w:rsidRDefault="00F84C0C">
      <w:pPr>
        <w:spacing w:after="0" w:line="259" w:lineRule="auto"/>
        <w:ind w:left="16" w:firstLine="0"/>
      </w:pPr>
      <w:r>
        <w:t xml:space="preserve"> </w:t>
      </w:r>
    </w:p>
    <w:p w14:paraId="6C60589D" w14:textId="77777777" w:rsidR="00B402E1" w:rsidRDefault="00F84C0C">
      <w:pPr>
        <w:spacing w:after="207"/>
        <w:ind w:left="16" w:firstLine="0"/>
      </w:pPr>
      <w:r>
        <w:t>Public Act 123 of 1989 requires all mental health practitioners to report any information communicated to the mental health practitioner by anyone under their treatment which contains a threat of physical violence against a reasonably identifiable third pe</w:t>
      </w:r>
      <w:r>
        <w:t xml:space="preserve">rson, if there is apparent intent, and the ability to carry out that threat in the foreseeable future.   Below is a flowchart to assist with the Duty to Warn decision-making process and follow actions.  </w:t>
      </w:r>
    </w:p>
    <w:p w14:paraId="47347F2A" w14:textId="77777777" w:rsidR="00B402E1" w:rsidRDefault="00F84C0C">
      <w:pPr>
        <w:spacing w:after="0" w:line="259" w:lineRule="auto"/>
        <w:ind w:left="0" w:right="135" w:firstLine="0"/>
        <w:jc w:val="right"/>
      </w:pPr>
      <w:r>
        <w:rPr>
          <w:noProof/>
        </w:rPr>
        <w:lastRenderedPageBreak/>
        <w:drawing>
          <wp:inline distT="0" distB="0" distL="0" distR="0" wp14:anchorId="2589AC95" wp14:editId="2DAEA1CD">
            <wp:extent cx="5748528" cy="5678425"/>
            <wp:effectExtent l="0" t="0" r="0" b="0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56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3FF391C" w14:textId="77777777" w:rsidR="00B402E1" w:rsidRDefault="00F84C0C">
      <w:pPr>
        <w:ind w:left="16" w:right="432" w:firstLine="0"/>
      </w:pPr>
      <w:r>
        <w:t>In such situations meeting the above criteria, th</w:t>
      </w:r>
      <w:r>
        <w:t xml:space="preserve">e staff of the Montcalm Care Network will do the following immediately: </w:t>
      </w:r>
    </w:p>
    <w:p w14:paraId="313ED29F" w14:textId="77777777" w:rsidR="00B402E1" w:rsidRDefault="00F84C0C">
      <w:pPr>
        <w:numPr>
          <w:ilvl w:val="0"/>
          <w:numId w:val="1"/>
        </w:numPr>
        <w:ind w:left="1427" w:right="432" w:hanging="360"/>
      </w:pPr>
      <w:r>
        <w:t xml:space="preserve">Facilitate hospitalization or other services for the individual as clinically appropriate. If hospitalization or other services are immediately possible and the consumer’s ability to </w:t>
      </w:r>
      <w:r>
        <w:t xml:space="preserve">carry out the threat is negated, then no duty to warn needs to be made. </w:t>
      </w:r>
    </w:p>
    <w:p w14:paraId="5222E35F" w14:textId="77777777" w:rsidR="00B402E1" w:rsidRDefault="00F84C0C">
      <w:pPr>
        <w:numPr>
          <w:ilvl w:val="0"/>
          <w:numId w:val="1"/>
        </w:numPr>
        <w:ind w:left="1427" w:right="432" w:hanging="360"/>
      </w:pPr>
      <w:r>
        <w:t xml:space="preserve">If the person making the threat does have the ability to carry out the threat, inform them of the requirements of the Public Act 123. </w:t>
      </w:r>
    </w:p>
    <w:p w14:paraId="1F79838A" w14:textId="77777777" w:rsidR="00B402E1" w:rsidRDefault="00F84C0C">
      <w:pPr>
        <w:numPr>
          <w:ilvl w:val="0"/>
          <w:numId w:val="1"/>
        </w:numPr>
        <w:ind w:left="1427" w:right="432" w:hanging="360"/>
      </w:pPr>
      <w:r>
        <w:t>Make a reasonable attempt to notify the identifi</w:t>
      </w:r>
      <w:r>
        <w:t xml:space="preserve">ed person against whom the threat was made. </w:t>
      </w:r>
    </w:p>
    <w:p w14:paraId="13B7F850" w14:textId="77777777" w:rsidR="00B402E1" w:rsidRDefault="00F84C0C">
      <w:pPr>
        <w:numPr>
          <w:ilvl w:val="0"/>
          <w:numId w:val="1"/>
        </w:numPr>
        <w:ind w:left="1427" w:right="432" w:hanging="360"/>
      </w:pPr>
      <w:r>
        <w:t xml:space="preserve">If the identified person is believed to be a minor or incompetent by other than age, the Department of </w:t>
      </w:r>
      <w:proofErr w:type="gramStart"/>
      <w:r>
        <w:t>Health</w:t>
      </w:r>
      <w:proofErr w:type="gramEnd"/>
      <w:r>
        <w:t xml:space="preserve"> and Human Services/Adult Protective </w:t>
      </w:r>
      <w:r>
        <w:lastRenderedPageBreak/>
        <w:t xml:space="preserve">Services in the county of residence of the identified person, or </w:t>
      </w:r>
      <w:r>
        <w:t xml:space="preserve">parents, legal guardian, or third person where they reside, must be notified. </w:t>
      </w:r>
    </w:p>
    <w:p w14:paraId="13BDCADD" w14:textId="77777777" w:rsidR="00B402E1" w:rsidRDefault="00F84C0C">
      <w:pPr>
        <w:numPr>
          <w:ilvl w:val="0"/>
          <w:numId w:val="1"/>
        </w:numPr>
        <w:ind w:left="1427" w:right="432" w:hanging="360"/>
      </w:pPr>
      <w:r>
        <w:t xml:space="preserve">Notify the county sheriff, </w:t>
      </w:r>
      <w:proofErr w:type="gramStart"/>
      <w:r>
        <w:t>state</w:t>
      </w:r>
      <w:proofErr w:type="gramEnd"/>
      <w:r>
        <w:t xml:space="preserve"> or local police where the identified person resides. </w:t>
      </w:r>
    </w:p>
    <w:p w14:paraId="731C43CB" w14:textId="77777777" w:rsidR="00B402E1" w:rsidRDefault="00F84C0C">
      <w:pPr>
        <w:spacing w:after="526"/>
        <w:ind w:left="16" w:right="432" w:firstLine="0"/>
      </w:pPr>
      <w:r>
        <w:t>All documentation of contact and intervention will be contained in a progress note or nonb</w:t>
      </w:r>
      <w:r>
        <w:t xml:space="preserve">illable note in the health record of the consumer making the threats.  </w:t>
      </w:r>
    </w:p>
    <w:p w14:paraId="1E61B5D7" w14:textId="77777777" w:rsidR="00B402E1" w:rsidRDefault="00F84C0C">
      <w:pPr>
        <w:spacing w:after="0" w:line="259" w:lineRule="auto"/>
        <w:ind w:left="0" w:firstLine="0"/>
      </w:pPr>
      <w:r>
        <w:t xml:space="preserve"> </w:t>
      </w:r>
    </w:p>
    <w:sectPr w:rsidR="00B402E1">
      <w:pgSz w:w="12240" w:h="15840"/>
      <w:pgMar w:top="1447" w:right="1544" w:bottom="1246" w:left="1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0492C"/>
    <w:multiLevelType w:val="hybridMultilevel"/>
    <w:tmpl w:val="A650C5EE"/>
    <w:lvl w:ilvl="0" w:tplc="BCC66E18">
      <w:start w:val="1"/>
      <w:numFmt w:val="decimal"/>
      <w:lvlText w:val="%1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5D4E">
      <w:start w:val="1"/>
      <w:numFmt w:val="lowerLetter"/>
      <w:lvlText w:val="%2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2F12">
      <w:start w:val="1"/>
      <w:numFmt w:val="lowerRoman"/>
      <w:lvlText w:val="%3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C1F0C">
      <w:start w:val="1"/>
      <w:numFmt w:val="decimal"/>
      <w:lvlText w:val="%4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43F60">
      <w:start w:val="1"/>
      <w:numFmt w:val="lowerLetter"/>
      <w:lvlText w:val="%5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01FBA">
      <w:start w:val="1"/>
      <w:numFmt w:val="lowerRoman"/>
      <w:lvlText w:val="%6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62D82">
      <w:start w:val="1"/>
      <w:numFmt w:val="decimal"/>
      <w:lvlText w:val="%7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BC75B6">
      <w:start w:val="1"/>
      <w:numFmt w:val="lowerLetter"/>
      <w:lvlText w:val="%8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29968">
      <w:start w:val="1"/>
      <w:numFmt w:val="lowerRoman"/>
      <w:lvlText w:val="%9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33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E1"/>
    <w:rsid w:val="00B402E1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0282"/>
  <w15:docId w15:val="{7EADBD0D-1D96-4A09-8989-62EDACA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4" w:line="240" w:lineRule="auto"/>
      <w:ind w:left="386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2021-09-21T04:00:00+00:00</Revised_x0020_Date>
    <Effective_x0020_Date xmlns="2e9f0917-2bf7-4e0a-a1a7-de1bbf40d805">1996-11-26T05:00:00+00:00</Effective_x0020_Date>
    <Subsection xmlns="2e9f0917-2bf7-4e0a-a1a7-de1bbf40d805">8331A</Subsection>
    <Doc_Type xmlns="2e9f0917-2bf7-4e0a-a1a7-de1bbf40d805">Procedure</Doc_Type>
    <Revision xmlns="2e9f0917-2bf7-4e0a-a1a7-de1bbf40d805">2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8EAD568F-9E2F-401F-B530-7E75024741D0}"/>
</file>

<file path=customXml/itemProps2.xml><?xml version="1.0" encoding="utf-8"?>
<ds:datastoreItem xmlns:ds="http://schemas.openxmlformats.org/officeDocument/2006/customXml" ds:itemID="{7BC903EA-0EE8-4424-8AAF-16B31A65D4EA}"/>
</file>

<file path=customXml/itemProps3.xml><?xml version="1.0" encoding="utf-8"?>
<ds:datastoreItem xmlns:ds="http://schemas.openxmlformats.org/officeDocument/2006/customXml" ds:itemID="{60461932-DF80-4A7C-A3B7-55E5A487A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8331A            Subject: Duty To Warn</dc:title>
  <dc:subject>Duty To Warn </dc:subject>
  <dc:creator>ahubbard</dc:creator>
  <cp:keywords/>
  <cp:lastModifiedBy>Aaron Hubbard</cp:lastModifiedBy>
  <cp:revision>2</cp:revision>
  <dcterms:created xsi:type="dcterms:W3CDTF">2022-04-05T16:39:00Z</dcterms:created>
  <dcterms:modified xsi:type="dcterms:W3CDTF">2022-04-05T16:39:00Z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